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C71E67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C71E67" w:rsidRDefault="00E2510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КИРСАНОВСКОГО 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992420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20.11.2018 года № 57</w:t>
      </w:r>
    </w:p>
    <w:p w:rsidR="002670E1" w:rsidRPr="00C71E67" w:rsidRDefault="00992420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510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E25100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E25100" w:rsidRPr="00E25100">
        <w:rPr>
          <w:rFonts w:ascii="Times New Roman" w:hAnsi="Times New Roman" w:cs="Times New Roman"/>
          <w:sz w:val="28"/>
          <w:szCs w:val="28"/>
        </w:rPr>
        <w:t>Кирсановского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spellStart"/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</w:t>
      </w:r>
      <w:r w:rsidR="00E71F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7E2572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5908">
        <w:rPr>
          <w:rFonts w:ascii="Times New Roman" w:hAnsi="Times New Roman" w:cs="Times New Roman"/>
          <w:b w:val="0"/>
          <w:sz w:val="28"/>
          <w:szCs w:val="28"/>
        </w:rPr>
        <w:t>24.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10.2016</w:t>
      </w:r>
      <w:r w:rsidR="00B85908">
        <w:rPr>
          <w:rFonts w:ascii="Times New Roman" w:hAnsi="Times New Roman" w:cs="Times New Roman"/>
          <w:b w:val="0"/>
          <w:sz w:val="28"/>
          <w:szCs w:val="28"/>
        </w:rPr>
        <w:t>г. № 87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B8590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Кирсановского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25.01.2016г.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16.06.2016г. №48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г.№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50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E25100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г.№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52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>25.01.2016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>13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67175">
        <w:rPr>
          <w:rFonts w:ascii="Times New Roman" w:hAnsi="Times New Roman" w:cs="Times New Roman"/>
          <w:b w:val="0"/>
          <w:sz w:val="28"/>
          <w:szCs w:val="28"/>
        </w:rPr>
        <w:t>25.01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>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>16.06.2016г.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D0859">
        <w:rPr>
          <w:rFonts w:ascii="Times New Roman" w:hAnsi="Times New Roman" w:cs="Times New Roman"/>
          <w:b w:val="0"/>
          <w:sz w:val="28"/>
          <w:szCs w:val="28"/>
        </w:rPr>
        <w:t>56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E25100" w:rsidRPr="00E25100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E25100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 </w:t>
      </w:r>
      <w:r w:rsidR="00AC6541" w:rsidRPr="00C71E67">
        <w:rPr>
          <w:b w:val="0"/>
          <w:szCs w:val="28"/>
        </w:rPr>
        <w:t xml:space="preserve">«5. </w:t>
      </w:r>
      <w:proofErr w:type="gramStart"/>
      <w:r w:rsidR="00AC6541"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</w:t>
      </w:r>
      <w:r w:rsidRPr="00C71E67">
        <w:rPr>
          <w:szCs w:val="28"/>
        </w:rPr>
        <w:lastRenderedPageBreak/>
        <w:t>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E25100" w:rsidRPr="00C71E67">
        <w:rPr>
          <w:szCs w:val="28"/>
        </w:rPr>
        <w:t xml:space="preserve"> </w:t>
      </w:r>
      <w:r w:rsidR="00776502" w:rsidRPr="00C71E67">
        <w:rPr>
          <w:szCs w:val="28"/>
        </w:rPr>
        <w:t xml:space="preserve">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992420" w:rsidP="00DC5273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39093C" w:rsidRPr="00C71E67">
        <w:rPr>
          <w:szCs w:val="28"/>
        </w:rPr>
        <w:t xml:space="preserve">отказ </w:t>
      </w:r>
      <w:r w:rsidR="00776502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E25100" w:rsidRPr="00C71E67">
        <w:rPr>
          <w:szCs w:val="28"/>
        </w:rPr>
        <w:t xml:space="preserve"> </w:t>
      </w:r>
      <w:r w:rsidR="00776502" w:rsidRPr="00C71E67">
        <w:rPr>
          <w:szCs w:val="28"/>
        </w:rPr>
        <w:t>сельского поселения</w:t>
      </w:r>
      <w:r w:rsidR="0039093C" w:rsidRPr="00C71E67">
        <w:rPr>
          <w:szCs w:val="28"/>
        </w:rPr>
        <w:t xml:space="preserve">, должностного лица </w:t>
      </w:r>
      <w:r w:rsidR="00776502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776502" w:rsidRPr="00C71E67">
        <w:rPr>
          <w:szCs w:val="28"/>
        </w:rPr>
        <w:t xml:space="preserve"> сельского поселения</w:t>
      </w:r>
      <w:r w:rsidR="0039093C" w:rsidRPr="00C71E67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9093C" w:rsidRPr="00C71E67">
        <w:rPr>
          <w:szCs w:val="28"/>
        </w:rPr>
        <w:t xml:space="preserve"> </w:t>
      </w:r>
      <w:proofErr w:type="gramStart"/>
      <w:r w:rsidR="0039093C"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71E67">
        <w:rPr>
          <w:szCs w:val="28"/>
        </w:rPr>
        <w:lastRenderedPageBreak/>
        <w:t xml:space="preserve">Воронежской области, муниципальными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C71E6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E25100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Единого портала государственных и </w:t>
      </w:r>
      <w:r w:rsidR="00E25100" w:rsidRPr="00E25100">
        <w:rPr>
          <w:szCs w:val="28"/>
        </w:rPr>
        <w:t>Кирсановского</w:t>
      </w:r>
      <w:r w:rsidR="00E25100" w:rsidRPr="00C71E67">
        <w:rPr>
          <w:szCs w:val="28"/>
        </w:rPr>
        <w:t xml:space="preserve"> </w:t>
      </w:r>
      <w:r w:rsidRPr="00C71E67">
        <w:rPr>
          <w:szCs w:val="28"/>
        </w:rPr>
        <w:t>муниципальных услуг (функций) либо Портала государственных и муниципальных услуг Воронежской области, а также может быть принята</w:t>
      </w:r>
      <w:proofErr w:type="gramEnd"/>
      <w:r w:rsidRPr="00C71E67">
        <w:rPr>
          <w:szCs w:val="28"/>
        </w:rPr>
        <w:t xml:space="preserve">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</w:t>
      </w:r>
      <w:r w:rsidRPr="00C71E67">
        <w:rPr>
          <w:szCs w:val="28"/>
        </w:rPr>
        <w:lastRenderedPageBreak/>
        <w:t>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наименование органа, предоставляющего муниципальную услугу (</w:t>
      </w:r>
      <w:r w:rsidR="00BF4C56" w:rsidRPr="00C71E67">
        <w:rPr>
          <w:szCs w:val="28"/>
        </w:rPr>
        <w:t xml:space="preserve">администрация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 главе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Должностные</w:t>
      </w:r>
      <w:proofErr w:type="gramEnd"/>
      <w:r w:rsidRPr="00C71E67">
        <w:rPr>
          <w:szCs w:val="28"/>
        </w:rPr>
        <w:t xml:space="preserve">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</w:t>
      </w:r>
      <w:r w:rsidRPr="00C71E67">
        <w:rPr>
          <w:szCs w:val="28"/>
        </w:rPr>
        <w:lastRenderedPageBreak/>
        <w:t>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DC5273" w:rsidRPr="00C71E67">
        <w:rPr>
          <w:szCs w:val="28"/>
        </w:rPr>
        <w:t xml:space="preserve"> </w:t>
      </w:r>
      <w:r w:rsidR="00E25100" w:rsidRPr="00E25100">
        <w:rPr>
          <w:szCs w:val="28"/>
        </w:rPr>
        <w:t>Кирсановского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C71E67">
        <w:rPr>
          <w:szCs w:val="28"/>
        </w:rPr>
        <w:t xml:space="preserve">администрации </w:t>
      </w:r>
      <w:r w:rsidR="00E25100" w:rsidRPr="00E25100">
        <w:rPr>
          <w:szCs w:val="28"/>
        </w:rPr>
        <w:t>Кирсановского</w:t>
      </w:r>
      <w:r w:rsidR="00E25100" w:rsidRPr="00C71E67">
        <w:rPr>
          <w:szCs w:val="28"/>
        </w:rPr>
        <w:t xml:space="preserve">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bookmarkEnd w:id="1"/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департамента: </w:t>
      </w:r>
      <w:proofErr w:type="spell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dsmk@govvrn.ru</w:t>
      </w:r>
      <w:proofErr w:type="spell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C71E67" w:rsidRDefault="00E71FB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E25100" w:rsidP="00E2510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99242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A1902"/>
    <w:rsid w:val="001E4B2D"/>
    <w:rsid w:val="001F3D3A"/>
    <w:rsid w:val="002670E1"/>
    <w:rsid w:val="002B40FB"/>
    <w:rsid w:val="00382ACF"/>
    <w:rsid w:val="0039093C"/>
    <w:rsid w:val="004D64A7"/>
    <w:rsid w:val="00674AA7"/>
    <w:rsid w:val="006D0859"/>
    <w:rsid w:val="006E4829"/>
    <w:rsid w:val="006F26E1"/>
    <w:rsid w:val="00766A18"/>
    <w:rsid w:val="00771AD4"/>
    <w:rsid w:val="00776502"/>
    <w:rsid w:val="007B5CE9"/>
    <w:rsid w:val="007E2572"/>
    <w:rsid w:val="007E5DA1"/>
    <w:rsid w:val="00856D7B"/>
    <w:rsid w:val="00867175"/>
    <w:rsid w:val="008D3B74"/>
    <w:rsid w:val="00992420"/>
    <w:rsid w:val="009D58F7"/>
    <w:rsid w:val="00AC6541"/>
    <w:rsid w:val="00AD7263"/>
    <w:rsid w:val="00B85908"/>
    <w:rsid w:val="00BF4C56"/>
    <w:rsid w:val="00C43FE9"/>
    <w:rsid w:val="00C71E67"/>
    <w:rsid w:val="00CA4207"/>
    <w:rsid w:val="00DC5273"/>
    <w:rsid w:val="00E25100"/>
    <w:rsid w:val="00E405BC"/>
    <w:rsid w:val="00E71FB1"/>
    <w:rsid w:val="00E7488B"/>
    <w:rsid w:val="00ED22F4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21</cp:revision>
  <cp:lastPrinted>2018-11-23T06:44:00Z</cp:lastPrinted>
  <dcterms:created xsi:type="dcterms:W3CDTF">2018-10-30T11:31:00Z</dcterms:created>
  <dcterms:modified xsi:type="dcterms:W3CDTF">2018-11-23T06:45:00Z</dcterms:modified>
</cp:coreProperties>
</file>