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F6" w:rsidRPr="00B11ACF" w:rsidRDefault="00DE6BF6" w:rsidP="00DE6BF6">
      <w:pPr>
        <w:pStyle w:val="1"/>
        <w:ind w:firstLine="709"/>
        <w:rPr>
          <w:rFonts w:ascii="Times New Roman" w:hAnsi="Times New Roman"/>
          <w:sz w:val="28"/>
        </w:rPr>
      </w:pPr>
      <w:r w:rsidRPr="00B11ACF">
        <w:rPr>
          <w:rFonts w:ascii="Times New Roman" w:hAnsi="Times New Roman"/>
          <w:sz w:val="28"/>
        </w:rPr>
        <w:t xml:space="preserve">АДМИНИСТРАЦИЯ </w:t>
      </w:r>
    </w:p>
    <w:p w:rsidR="00DE6BF6" w:rsidRPr="00B11ACF" w:rsidRDefault="00DE6BF6" w:rsidP="00DE6BF6">
      <w:pPr>
        <w:pStyle w:val="1"/>
        <w:ind w:firstLine="709"/>
        <w:rPr>
          <w:rFonts w:ascii="Times New Roman" w:hAnsi="Times New Roman"/>
          <w:sz w:val="28"/>
        </w:rPr>
      </w:pPr>
      <w:r>
        <w:rPr>
          <w:rFonts w:ascii="Times New Roman" w:hAnsi="Times New Roman"/>
          <w:sz w:val="28"/>
        </w:rPr>
        <w:t xml:space="preserve">КИРСАНОВСКОГО </w:t>
      </w:r>
      <w:r w:rsidRPr="00B11ACF">
        <w:rPr>
          <w:rFonts w:ascii="Times New Roman" w:hAnsi="Times New Roman"/>
          <w:sz w:val="28"/>
        </w:rPr>
        <w:t xml:space="preserve">СЕЛЬСКОГО ПОСЕЛЕНИЯ </w:t>
      </w:r>
    </w:p>
    <w:p w:rsidR="00DE6BF6" w:rsidRPr="00B11ACF" w:rsidRDefault="00DE6BF6" w:rsidP="00DE6BF6">
      <w:pPr>
        <w:pStyle w:val="1"/>
        <w:ind w:firstLine="709"/>
        <w:rPr>
          <w:rFonts w:ascii="Times New Roman" w:hAnsi="Times New Roman"/>
          <w:sz w:val="28"/>
        </w:rPr>
      </w:pPr>
      <w:r w:rsidRPr="00B11ACF">
        <w:rPr>
          <w:rFonts w:ascii="Times New Roman" w:hAnsi="Times New Roman"/>
          <w:sz w:val="28"/>
        </w:rPr>
        <w:t>ГРИБАНОВСКОГО МУНИЦИПАЛЬНОГО РАЙОНА</w:t>
      </w:r>
    </w:p>
    <w:p w:rsidR="00DE6BF6" w:rsidRPr="00B11ACF" w:rsidRDefault="00DE6BF6" w:rsidP="00DE6BF6">
      <w:pPr>
        <w:pStyle w:val="1"/>
        <w:ind w:firstLine="709"/>
        <w:rPr>
          <w:rFonts w:ascii="Times New Roman" w:hAnsi="Times New Roman"/>
          <w:sz w:val="28"/>
        </w:rPr>
      </w:pPr>
      <w:r w:rsidRPr="00B11ACF">
        <w:rPr>
          <w:rFonts w:ascii="Times New Roman" w:hAnsi="Times New Roman"/>
          <w:sz w:val="28"/>
        </w:rPr>
        <w:t>ВОРОНЕЖСКОЙ  ОБЛАСТИ</w:t>
      </w:r>
    </w:p>
    <w:p w:rsidR="00DE6BF6" w:rsidRPr="00B11ACF" w:rsidRDefault="00DE6BF6" w:rsidP="00DE6BF6">
      <w:pPr>
        <w:pStyle w:val="1"/>
        <w:ind w:firstLine="709"/>
        <w:rPr>
          <w:rFonts w:ascii="Times New Roman" w:hAnsi="Times New Roman"/>
          <w:sz w:val="28"/>
        </w:rPr>
      </w:pPr>
    </w:p>
    <w:p w:rsidR="00DE6BF6" w:rsidRPr="00B11ACF" w:rsidRDefault="00DE6BF6" w:rsidP="00DE6BF6">
      <w:pPr>
        <w:pStyle w:val="1"/>
        <w:ind w:firstLine="709"/>
        <w:rPr>
          <w:rFonts w:ascii="Times New Roman" w:hAnsi="Times New Roman"/>
          <w:sz w:val="28"/>
        </w:rPr>
      </w:pPr>
      <w:r w:rsidRPr="00B11ACF">
        <w:rPr>
          <w:rFonts w:ascii="Times New Roman" w:hAnsi="Times New Roman"/>
          <w:sz w:val="28"/>
        </w:rPr>
        <w:t>ПОСТАНОВЛЕНИЕ</w:t>
      </w:r>
    </w:p>
    <w:p w:rsidR="00DE6BF6" w:rsidRPr="00B11ACF" w:rsidRDefault="00DE6BF6" w:rsidP="00DE6BF6">
      <w:pPr>
        <w:ind w:firstLine="709"/>
        <w:jc w:val="center"/>
        <w:rPr>
          <w:rFonts w:ascii="Times New Roman" w:hAnsi="Times New Roman"/>
          <w:b/>
          <w:sz w:val="28"/>
          <w:szCs w:val="28"/>
        </w:rPr>
      </w:pPr>
    </w:p>
    <w:p w:rsidR="00DE6BF6" w:rsidRPr="00B11ACF" w:rsidRDefault="00DE6BF6" w:rsidP="00DE6BF6">
      <w:pPr>
        <w:pStyle w:val="2"/>
        <w:ind w:right="0" w:firstLine="142"/>
        <w:rPr>
          <w:rFonts w:ascii="Times New Roman" w:hAnsi="Times New Roman"/>
          <w:b w:val="0"/>
          <w:sz w:val="28"/>
        </w:rPr>
      </w:pPr>
      <w:r w:rsidRPr="00B11ACF">
        <w:rPr>
          <w:rFonts w:ascii="Times New Roman" w:hAnsi="Times New Roman"/>
          <w:b w:val="0"/>
          <w:sz w:val="28"/>
        </w:rPr>
        <w:t xml:space="preserve">От  </w:t>
      </w:r>
      <w:r>
        <w:rPr>
          <w:rFonts w:ascii="Times New Roman" w:hAnsi="Times New Roman"/>
          <w:b w:val="0"/>
          <w:sz w:val="28"/>
        </w:rPr>
        <w:t>13.05.</w:t>
      </w:r>
      <w:r w:rsidRPr="00B11ACF">
        <w:rPr>
          <w:rFonts w:ascii="Times New Roman" w:hAnsi="Times New Roman"/>
          <w:b w:val="0"/>
          <w:sz w:val="28"/>
        </w:rPr>
        <w:t>2020</w:t>
      </w:r>
      <w:r>
        <w:rPr>
          <w:rFonts w:ascii="Times New Roman" w:hAnsi="Times New Roman"/>
          <w:b w:val="0"/>
          <w:sz w:val="28"/>
        </w:rPr>
        <w:t xml:space="preserve"> г.  №  15</w:t>
      </w:r>
      <w:r w:rsidRPr="00B11ACF">
        <w:rPr>
          <w:rFonts w:ascii="Times New Roman" w:hAnsi="Times New Roman"/>
          <w:b w:val="0"/>
          <w:sz w:val="28"/>
        </w:rPr>
        <w:t xml:space="preserve"> </w:t>
      </w:r>
    </w:p>
    <w:p w:rsidR="00DE6BF6" w:rsidRPr="00DE6BF6" w:rsidRDefault="00DE6BF6" w:rsidP="00DE6BF6">
      <w:pPr>
        <w:pStyle w:val="2"/>
        <w:ind w:right="0" w:firstLine="142"/>
        <w:rPr>
          <w:rFonts w:ascii="Times New Roman" w:hAnsi="Times New Roman"/>
          <w:b w:val="0"/>
          <w:sz w:val="28"/>
        </w:rPr>
      </w:pPr>
      <w:r w:rsidRPr="00B11ACF">
        <w:rPr>
          <w:rFonts w:ascii="Times New Roman" w:hAnsi="Times New Roman"/>
          <w:b w:val="0"/>
          <w:sz w:val="28"/>
        </w:rPr>
        <w:t xml:space="preserve"> с. </w:t>
      </w:r>
      <w:r>
        <w:rPr>
          <w:rFonts w:ascii="Times New Roman" w:hAnsi="Times New Roman"/>
          <w:b w:val="0"/>
          <w:sz w:val="28"/>
        </w:rPr>
        <w:t>Кирсановка</w:t>
      </w:r>
    </w:p>
    <w:p w:rsidR="00DE6BF6" w:rsidRPr="00B11ACF" w:rsidRDefault="00DE6BF6" w:rsidP="00DE6BF6">
      <w:pPr>
        <w:pStyle w:val="2"/>
        <w:ind w:right="0" w:firstLine="709"/>
        <w:rPr>
          <w:rFonts w:ascii="Times New Roman" w:eastAsia="SimSun" w:hAnsi="Times New Roman"/>
          <w:b w:val="0"/>
          <w:kern w:val="1"/>
          <w:sz w:val="28"/>
          <w:lang w:eastAsia="hi-IN" w:bidi="hi-IN"/>
        </w:rPr>
      </w:pPr>
    </w:p>
    <w:p w:rsidR="00DE6BF6" w:rsidRPr="00B11ACF" w:rsidRDefault="00DE6BF6" w:rsidP="00DE6BF6">
      <w:pPr>
        <w:pStyle w:val="ConsPlusTitle"/>
        <w:widowControl/>
        <w:ind w:right="4421"/>
        <w:jc w:val="both"/>
        <w:rPr>
          <w:rFonts w:eastAsia="SimSun"/>
          <w:b w:val="0"/>
          <w:kern w:val="1"/>
          <w:szCs w:val="28"/>
          <w:lang w:eastAsia="hi-IN" w:bidi="hi-IN"/>
        </w:rPr>
      </w:pPr>
      <w:r w:rsidRPr="00B11ACF">
        <w:rPr>
          <w:rFonts w:eastAsia="SimSun"/>
          <w:b w:val="0"/>
          <w:kern w:val="1"/>
          <w:szCs w:val="28"/>
          <w:lang w:eastAsia="hi-IN" w:bidi="hi-IN"/>
        </w:rPr>
        <w:t xml:space="preserve">Об утверждении административного регламента администрации </w:t>
      </w:r>
      <w:r>
        <w:rPr>
          <w:b w:val="0"/>
          <w:kern w:val="2"/>
          <w:szCs w:val="28"/>
          <w:lang w:eastAsia="hi-IN" w:bidi="hi-IN"/>
        </w:rPr>
        <w:t>Кирсановского</w:t>
      </w:r>
      <w:r w:rsidRPr="00B11ACF">
        <w:rPr>
          <w:rFonts w:eastAsia="SimSun"/>
          <w:b w:val="0"/>
          <w:kern w:val="1"/>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DE6BF6" w:rsidRPr="00B11ACF" w:rsidRDefault="00DE6BF6" w:rsidP="00DE6BF6">
      <w:pPr>
        <w:ind w:firstLine="709"/>
        <w:rPr>
          <w:rFonts w:ascii="Times New Roman" w:hAnsi="Times New Roman"/>
          <w:sz w:val="28"/>
          <w:szCs w:val="28"/>
        </w:rPr>
      </w:pPr>
    </w:p>
    <w:p w:rsidR="00DE6BF6" w:rsidRPr="00B11ACF" w:rsidRDefault="00DE6BF6" w:rsidP="00DE6BF6">
      <w:pPr>
        <w:ind w:firstLine="709"/>
        <w:rPr>
          <w:rFonts w:ascii="Times New Roman" w:hAnsi="Times New Roman"/>
          <w:sz w:val="28"/>
          <w:szCs w:val="28"/>
        </w:rPr>
      </w:pPr>
      <w:r w:rsidRPr="00B11ACF">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spellStart"/>
      <w:proofErr w:type="gramStart"/>
      <w:r w:rsidRPr="00B11ACF">
        <w:rPr>
          <w:rFonts w:ascii="Times New Roman" w:hAnsi="Times New Roman"/>
          <w:sz w:val="28"/>
          <w:szCs w:val="28"/>
        </w:rPr>
        <w:t>п</w:t>
      </w:r>
      <w:proofErr w:type="spellEnd"/>
      <w:proofErr w:type="gramEnd"/>
      <w:r w:rsidRPr="00B11ACF">
        <w:rPr>
          <w:rFonts w:ascii="Times New Roman" w:hAnsi="Times New Roman"/>
          <w:sz w:val="28"/>
          <w:szCs w:val="28"/>
        </w:rPr>
        <w:t xml:space="preserve"> о с т а </w:t>
      </w:r>
      <w:proofErr w:type="spellStart"/>
      <w:r w:rsidRPr="00B11ACF">
        <w:rPr>
          <w:rFonts w:ascii="Times New Roman" w:hAnsi="Times New Roman"/>
          <w:sz w:val="28"/>
          <w:szCs w:val="28"/>
        </w:rPr>
        <w:t>н</w:t>
      </w:r>
      <w:proofErr w:type="spellEnd"/>
      <w:r w:rsidRPr="00B11ACF">
        <w:rPr>
          <w:rFonts w:ascii="Times New Roman" w:hAnsi="Times New Roman"/>
          <w:sz w:val="28"/>
          <w:szCs w:val="28"/>
        </w:rPr>
        <w:t xml:space="preserve"> о в л я е т:</w:t>
      </w:r>
    </w:p>
    <w:p w:rsidR="00DE6BF6" w:rsidRPr="00B11ACF" w:rsidRDefault="00DE6BF6" w:rsidP="00DE6BF6">
      <w:pPr>
        <w:ind w:firstLine="709"/>
        <w:jc w:val="center"/>
        <w:rPr>
          <w:rFonts w:ascii="Times New Roman" w:hAnsi="Times New Roman"/>
          <w:sz w:val="28"/>
          <w:szCs w:val="28"/>
        </w:rPr>
      </w:pPr>
    </w:p>
    <w:p w:rsidR="00DE6BF6" w:rsidRPr="00B11ACF" w:rsidRDefault="00DE6BF6" w:rsidP="00DE6BF6">
      <w:pPr>
        <w:pStyle w:val="ConsPlusTitle"/>
        <w:widowControl/>
        <w:ind w:firstLine="709"/>
        <w:jc w:val="both"/>
        <w:rPr>
          <w:b w:val="0"/>
          <w:szCs w:val="28"/>
        </w:rPr>
      </w:pPr>
      <w:r w:rsidRPr="00B11ACF">
        <w:rPr>
          <w:b w:val="0"/>
          <w:szCs w:val="28"/>
        </w:rPr>
        <w:t xml:space="preserve"> 1. Утвердить прилагаемый административный регламент</w:t>
      </w:r>
      <w:r w:rsidRPr="00B11ACF">
        <w:rPr>
          <w:rFonts w:eastAsia="SimSun"/>
          <w:kern w:val="1"/>
          <w:szCs w:val="28"/>
          <w:lang w:eastAsia="hi-IN" w:bidi="hi-IN"/>
        </w:rPr>
        <w:t xml:space="preserve"> </w:t>
      </w:r>
      <w:r w:rsidRPr="00B11ACF">
        <w:rPr>
          <w:rFonts w:eastAsia="SimSun"/>
          <w:b w:val="0"/>
          <w:kern w:val="1"/>
          <w:szCs w:val="28"/>
          <w:lang w:eastAsia="hi-IN" w:bidi="hi-IN"/>
        </w:rPr>
        <w:t xml:space="preserve">администрации </w:t>
      </w:r>
      <w:r>
        <w:rPr>
          <w:b w:val="0"/>
          <w:kern w:val="2"/>
          <w:szCs w:val="28"/>
          <w:lang w:eastAsia="hi-IN" w:bidi="hi-IN"/>
        </w:rPr>
        <w:t>Кирсановского</w:t>
      </w:r>
      <w:r w:rsidRPr="00B11ACF">
        <w:rPr>
          <w:rFonts w:eastAsia="SimSun"/>
          <w:b w:val="0"/>
          <w:kern w:val="1"/>
          <w:szCs w:val="28"/>
          <w:lang w:eastAsia="hi-IN" w:bidi="hi-IN"/>
        </w:rPr>
        <w:t xml:space="preserve"> сельского поселения </w:t>
      </w:r>
      <w:r w:rsidRPr="00B11ACF">
        <w:rPr>
          <w:b w:val="0"/>
          <w:szCs w:val="28"/>
        </w:rPr>
        <w:t>по предоставлению муниципальной услуги «</w:t>
      </w:r>
      <w:r w:rsidRPr="00B11ACF">
        <w:rPr>
          <w:rFonts w:eastAsia="SimSun"/>
          <w:b w:val="0"/>
          <w:kern w:val="1"/>
          <w:szCs w:val="28"/>
          <w:lang w:eastAsia="hi-IN" w:bidi="hi-IN"/>
        </w:rPr>
        <w:t>Прекращение права постоянного (бессрочного) пользования земельными участками, находящимися в муниципальной собственности»</w:t>
      </w:r>
      <w:r w:rsidRPr="00B11ACF">
        <w:rPr>
          <w:b w:val="0"/>
          <w:szCs w:val="28"/>
        </w:rPr>
        <w:t>.</w:t>
      </w:r>
    </w:p>
    <w:p w:rsidR="00DE6BF6" w:rsidRPr="00B11ACF" w:rsidRDefault="00DE6BF6" w:rsidP="00DE6BF6">
      <w:pPr>
        <w:keepNext/>
        <w:widowControl w:val="0"/>
        <w:tabs>
          <w:tab w:val="left" w:pos="4536"/>
        </w:tabs>
        <w:autoSpaceDE w:val="0"/>
        <w:autoSpaceDN w:val="0"/>
        <w:adjustRightInd w:val="0"/>
        <w:ind w:firstLine="709"/>
        <w:outlineLvl w:val="1"/>
        <w:rPr>
          <w:rFonts w:ascii="Times New Roman" w:hAnsi="Times New Roman"/>
          <w:sz w:val="28"/>
          <w:szCs w:val="28"/>
        </w:rPr>
      </w:pPr>
      <w:r w:rsidRPr="00B11ACF">
        <w:rPr>
          <w:rFonts w:ascii="Times New Roman" w:hAnsi="Times New Roman"/>
          <w:sz w:val="28"/>
          <w:szCs w:val="28"/>
        </w:rPr>
        <w:t xml:space="preserve">2. Признать утратившими силу  постановления  администрации </w:t>
      </w:r>
      <w:r w:rsidRPr="00DE6BF6">
        <w:rPr>
          <w:rFonts w:ascii="Times New Roman" w:hAnsi="Times New Roman" w:cs="Times New Roman"/>
          <w:kern w:val="2"/>
          <w:sz w:val="28"/>
          <w:szCs w:val="28"/>
          <w:lang w:eastAsia="hi-IN" w:bidi="hi-IN"/>
        </w:rPr>
        <w:t>Кирсановского</w:t>
      </w:r>
      <w:r w:rsidRPr="00DE6BF6">
        <w:rPr>
          <w:rFonts w:ascii="Times New Roman" w:hAnsi="Times New Roman" w:cs="Times New Roman"/>
          <w:sz w:val="28"/>
          <w:szCs w:val="28"/>
        </w:rPr>
        <w:t xml:space="preserve"> </w:t>
      </w:r>
      <w:r w:rsidRPr="00B11ACF">
        <w:rPr>
          <w:rFonts w:ascii="Times New Roman" w:hAnsi="Times New Roman"/>
          <w:sz w:val="28"/>
          <w:szCs w:val="28"/>
        </w:rPr>
        <w:t>сельского поселения Грибановского муниципального района:</w:t>
      </w:r>
    </w:p>
    <w:p w:rsidR="00DE6BF6" w:rsidRPr="00B11ACF" w:rsidRDefault="00DE6BF6" w:rsidP="00DE6BF6">
      <w:pPr>
        <w:pStyle w:val="ConsPlusTitle"/>
        <w:widowControl/>
        <w:ind w:right="27" w:firstLine="709"/>
        <w:jc w:val="both"/>
        <w:rPr>
          <w:rFonts w:eastAsia="SimSun"/>
          <w:b w:val="0"/>
          <w:kern w:val="1"/>
          <w:szCs w:val="28"/>
          <w:lang w:eastAsia="hi-IN" w:bidi="hi-IN"/>
        </w:rPr>
      </w:pPr>
      <w:r w:rsidRPr="00B11ACF">
        <w:rPr>
          <w:b w:val="0"/>
          <w:szCs w:val="28"/>
        </w:rPr>
        <w:t>- от</w:t>
      </w:r>
      <w:r w:rsidR="00D7365F">
        <w:rPr>
          <w:b w:val="0"/>
          <w:szCs w:val="28"/>
        </w:rPr>
        <w:t>16.11</w:t>
      </w:r>
      <w:r w:rsidRPr="00B11ACF">
        <w:rPr>
          <w:b w:val="0"/>
          <w:szCs w:val="28"/>
        </w:rPr>
        <w:t xml:space="preserve">.2015 г. № </w:t>
      </w:r>
      <w:r w:rsidR="00D7365F">
        <w:rPr>
          <w:b w:val="0"/>
          <w:szCs w:val="28"/>
        </w:rPr>
        <w:t>78</w:t>
      </w:r>
      <w:r w:rsidRPr="00B11ACF">
        <w:rPr>
          <w:b w:val="0"/>
          <w:szCs w:val="28"/>
        </w:rPr>
        <w:t xml:space="preserve"> «</w:t>
      </w:r>
      <w:r w:rsidRPr="00B11ACF">
        <w:rPr>
          <w:rFonts w:eastAsia="SimSun"/>
          <w:b w:val="0"/>
          <w:kern w:val="1"/>
          <w:szCs w:val="28"/>
          <w:lang w:eastAsia="hi-IN" w:bidi="hi-IN"/>
        </w:rPr>
        <w:t xml:space="preserve">Об утверждении административного </w:t>
      </w:r>
    </w:p>
    <w:p w:rsidR="00DE6BF6" w:rsidRPr="00B11ACF" w:rsidRDefault="00DE6BF6" w:rsidP="00DE6BF6">
      <w:pPr>
        <w:pStyle w:val="ConsPlusTitle"/>
        <w:widowControl/>
        <w:ind w:right="27"/>
        <w:jc w:val="both"/>
        <w:rPr>
          <w:rFonts w:eastAsia="SimSun"/>
          <w:b w:val="0"/>
          <w:kern w:val="1"/>
          <w:szCs w:val="28"/>
          <w:lang w:eastAsia="hi-IN" w:bidi="hi-IN"/>
        </w:rPr>
      </w:pPr>
      <w:r w:rsidRPr="00B11ACF">
        <w:rPr>
          <w:rFonts w:eastAsia="SimSun"/>
          <w:b w:val="0"/>
          <w:kern w:val="1"/>
          <w:szCs w:val="28"/>
          <w:lang w:eastAsia="hi-IN" w:bidi="hi-IN"/>
        </w:rPr>
        <w:t xml:space="preserve">регламента администрации </w:t>
      </w:r>
      <w:r>
        <w:rPr>
          <w:b w:val="0"/>
          <w:kern w:val="2"/>
          <w:szCs w:val="28"/>
          <w:lang w:eastAsia="hi-IN" w:bidi="hi-IN"/>
        </w:rPr>
        <w:t>Кирсановского</w:t>
      </w:r>
      <w:r w:rsidRPr="00B11ACF">
        <w:rPr>
          <w:rFonts w:eastAsia="SimSun"/>
          <w:b w:val="0"/>
          <w:kern w:val="1"/>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B11ACF">
        <w:rPr>
          <w:rFonts w:eastAsia="SimSun"/>
          <w:b w:val="0"/>
          <w:kern w:val="1"/>
          <w:szCs w:val="28"/>
          <w:lang w:eastAsia="hi-IN" w:bidi="hi-IN"/>
        </w:rPr>
        <w:t>который</w:t>
      </w:r>
      <w:proofErr w:type="gramEnd"/>
      <w:r w:rsidRPr="00B11ACF">
        <w:rPr>
          <w:rFonts w:eastAsia="SimSun"/>
          <w:b w:val="0"/>
          <w:kern w:val="1"/>
          <w:szCs w:val="28"/>
          <w:lang w:eastAsia="hi-IN" w:bidi="hi-IN"/>
        </w:rPr>
        <w:t xml:space="preserve"> не разграничена»;</w:t>
      </w:r>
    </w:p>
    <w:p w:rsidR="00DE6BF6" w:rsidRPr="00B11ACF" w:rsidRDefault="00971164" w:rsidP="00DE6BF6">
      <w:pPr>
        <w:pStyle w:val="ConsPlusTitle"/>
        <w:widowControl/>
        <w:ind w:firstLine="709"/>
        <w:jc w:val="both"/>
        <w:rPr>
          <w:b w:val="0"/>
          <w:kern w:val="1"/>
          <w:szCs w:val="28"/>
          <w:lang w:eastAsia="hi-IN" w:bidi="hi-IN"/>
        </w:rPr>
      </w:pPr>
      <w:proofErr w:type="gramStart"/>
      <w:r>
        <w:rPr>
          <w:b w:val="0"/>
          <w:szCs w:val="28"/>
        </w:rPr>
        <w:t>- от12.12.2016 г. № 128</w:t>
      </w:r>
      <w:r w:rsidR="00DE6BF6" w:rsidRPr="00B11ACF">
        <w:rPr>
          <w:b w:val="0"/>
          <w:szCs w:val="28"/>
        </w:rPr>
        <w:t xml:space="preserve"> «О внесении изменений в постановление администрации </w:t>
      </w:r>
      <w:r w:rsidR="00DE6BF6">
        <w:rPr>
          <w:b w:val="0"/>
          <w:kern w:val="2"/>
          <w:szCs w:val="28"/>
          <w:lang w:eastAsia="hi-IN" w:bidi="hi-IN"/>
        </w:rPr>
        <w:t>Кирсановского</w:t>
      </w:r>
      <w:r w:rsidR="00DE6BF6" w:rsidRPr="00B11ACF">
        <w:rPr>
          <w:b w:val="0"/>
          <w:szCs w:val="28"/>
        </w:rPr>
        <w:t xml:space="preserve"> сельского поселения Грибановского муниципального района Воронежской области от _</w:t>
      </w:r>
      <w:r>
        <w:rPr>
          <w:b w:val="0"/>
          <w:szCs w:val="28"/>
        </w:rPr>
        <w:t>16.11</w:t>
      </w:r>
      <w:r w:rsidR="00DE6BF6" w:rsidRPr="00B11ACF">
        <w:rPr>
          <w:b w:val="0"/>
          <w:szCs w:val="28"/>
        </w:rPr>
        <w:t xml:space="preserve">. 2015 г. № </w:t>
      </w:r>
      <w:r>
        <w:rPr>
          <w:b w:val="0"/>
          <w:szCs w:val="28"/>
        </w:rPr>
        <w:t>78</w:t>
      </w:r>
      <w:r w:rsidR="00DE6BF6" w:rsidRPr="00B11ACF">
        <w:rPr>
          <w:b w:val="0"/>
          <w:szCs w:val="28"/>
        </w:rPr>
        <w:t xml:space="preserve"> «</w:t>
      </w:r>
      <w:r w:rsidR="00DE6BF6" w:rsidRPr="00B11ACF">
        <w:rPr>
          <w:b w:val="0"/>
          <w:kern w:val="2"/>
          <w:szCs w:val="28"/>
          <w:lang w:eastAsia="hi-IN" w:bidi="hi-IN"/>
        </w:rPr>
        <w:t xml:space="preserve">Об </w:t>
      </w:r>
      <w:r w:rsidR="00DE6BF6" w:rsidRPr="00B11ACF">
        <w:rPr>
          <w:b w:val="0"/>
          <w:kern w:val="2"/>
          <w:szCs w:val="28"/>
          <w:lang w:eastAsia="hi-IN" w:bidi="hi-IN"/>
        </w:rPr>
        <w:lastRenderedPageBreak/>
        <w:t xml:space="preserve">утверждении административного регламента администрации </w:t>
      </w:r>
      <w:r w:rsidR="00DE6BF6">
        <w:rPr>
          <w:b w:val="0"/>
          <w:kern w:val="2"/>
          <w:szCs w:val="28"/>
          <w:lang w:eastAsia="hi-IN" w:bidi="hi-IN"/>
        </w:rPr>
        <w:t xml:space="preserve">Кирсановского </w:t>
      </w:r>
      <w:r w:rsidR="00DE6BF6" w:rsidRPr="00B11ACF">
        <w:rPr>
          <w:b w:val="0"/>
          <w:kern w:val="2"/>
          <w:szCs w:val="28"/>
          <w:lang w:eastAsia="hi-IN" w:bidi="hi-IN"/>
        </w:rPr>
        <w:t>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DE6BF6" w:rsidRPr="00B11ACF">
        <w:rPr>
          <w:b w:val="0"/>
          <w:kern w:val="1"/>
          <w:szCs w:val="28"/>
          <w:lang w:eastAsia="hi-IN" w:bidi="hi-IN"/>
        </w:rPr>
        <w:t>».</w:t>
      </w:r>
      <w:proofErr w:type="gramEnd"/>
    </w:p>
    <w:p w:rsidR="00DE6BF6" w:rsidRPr="00B11ACF" w:rsidRDefault="00DE6BF6" w:rsidP="00DE6BF6">
      <w:pPr>
        <w:ind w:firstLine="709"/>
        <w:rPr>
          <w:rFonts w:ascii="Times New Roman" w:hAnsi="Times New Roman"/>
          <w:sz w:val="28"/>
          <w:szCs w:val="28"/>
        </w:rPr>
      </w:pPr>
      <w:r w:rsidRPr="00B11ACF">
        <w:rPr>
          <w:rFonts w:ascii="Times New Roman" w:hAnsi="Times New Roman"/>
          <w:sz w:val="28"/>
          <w:szCs w:val="28"/>
        </w:rPr>
        <w:t>2. Контроль исполнения настоящего постановления оставляю за собой.</w:t>
      </w:r>
    </w:p>
    <w:p w:rsidR="00DE6BF6" w:rsidRPr="00B11ACF" w:rsidRDefault="00DE6BF6" w:rsidP="00DE6BF6">
      <w:pPr>
        <w:ind w:firstLine="709"/>
        <w:rPr>
          <w:rFonts w:ascii="Times New Roman" w:hAnsi="Times New Roman"/>
          <w:sz w:val="28"/>
          <w:szCs w:val="28"/>
        </w:rPr>
      </w:pPr>
    </w:p>
    <w:tbl>
      <w:tblPr>
        <w:tblW w:w="9961" w:type="dxa"/>
        <w:tblInd w:w="360" w:type="dxa"/>
        <w:tblLook w:val="04A0"/>
      </w:tblPr>
      <w:tblGrid>
        <w:gridCol w:w="3859"/>
        <w:gridCol w:w="2956"/>
        <w:gridCol w:w="3146"/>
      </w:tblGrid>
      <w:tr w:rsidR="00DE6BF6" w:rsidRPr="00B11ACF" w:rsidTr="00DE6BF6">
        <w:tc>
          <w:tcPr>
            <w:tcW w:w="3859" w:type="dxa"/>
            <w:shd w:val="clear" w:color="auto" w:fill="auto"/>
          </w:tcPr>
          <w:p w:rsidR="00DE6BF6" w:rsidRPr="00B11ACF" w:rsidRDefault="00DE6BF6" w:rsidP="0026148A">
            <w:pPr>
              <w:rPr>
                <w:rFonts w:ascii="Times New Roman" w:hAnsi="Times New Roman"/>
                <w:sz w:val="28"/>
                <w:szCs w:val="28"/>
              </w:rPr>
            </w:pPr>
            <w:r w:rsidRPr="00B11ACF">
              <w:rPr>
                <w:rFonts w:ascii="Times New Roman" w:hAnsi="Times New Roman"/>
                <w:sz w:val="28"/>
                <w:szCs w:val="28"/>
              </w:rPr>
              <w:t>Глава сельского поселения</w:t>
            </w:r>
          </w:p>
          <w:p w:rsidR="00DE6BF6" w:rsidRPr="00B11ACF" w:rsidRDefault="00DE6BF6" w:rsidP="0026148A">
            <w:pPr>
              <w:rPr>
                <w:rFonts w:ascii="Times New Roman" w:hAnsi="Times New Roman"/>
                <w:sz w:val="28"/>
                <w:szCs w:val="28"/>
              </w:rPr>
            </w:pPr>
          </w:p>
        </w:tc>
        <w:tc>
          <w:tcPr>
            <w:tcW w:w="2956" w:type="dxa"/>
            <w:shd w:val="clear" w:color="auto" w:fill="auto"/>
          </w:tcPr>
          <w:p w:rsidR="00DE6BF6" w:rsidRPr="00B11ACF" w:rsidRDefault="00DE6BF6" w:rsidP="00DE6BF6">
            <w:pPr>
              <w:ind w:firstLine="709"/>
              <w:rPr>
                <w:rFonts w:ascii="Times New Roman" w:hAnsi="Times New Roman"/>
                <w:sz w:val="28"/>
                <w:szCs w:val="28"/>
              </w:rPr>
            </w:pPr>
            <w:r>
              <w:rPr>
                <w:rFonts w:ascii="Times New Roman" w:hAnsi="Times New Roman"/>
                <w:sz w:val="28"/>
                <w:szCs w:val="28"/>
              </w:rPr>
              <w:t xml:space="preserve">                            </w:t>
            </w:r>
          </w:p>
        </w:tc>
        <w:tc>
          <w:tcPr>
            <w:tcW w:w="3146" w:type="dxa"/>
            <w:shd w:val="clear" w:color="auto" w:fill="auto"/>
          </w:tcPr>
          <w:p w:rsidR="00DE6BF6" w:rsidRPr="00B11ACF" w:rsidRDefault="00DE6BF6" w:rsidP="00DE6BF6">
            <w:pPr>
              <w:rPr>
                <w:rFonts w:ascii="Times New Roman" w:hAnsi="Times New Roman"/>
                <w:sz w:val="28"/>
                <w:szCs w:val="28"/>
              </w:rPr>
            </w:pPr>
            <w:r>
              <w:rPr>
                <w:rFonts w:ascii="Times New Roman" w:hAnsi="Times New Roman"/>
                <w:sz w:val="28"/>
                <w:szCs w:val="28"/>
              </w:rPr>
              <w:t>А.И.Стародубцев</w:t>
            </w:r>
          </w:p>
        </w:tc>
      </w:tr>
    </w:tbl>
    <w:p w:rsidR="00DE6BF6" w:rsidRPr="00B11ACF" w:rsidRDefault="00DE6BF6" w:rsidP="00DE6BF6">
      <w:pPr>
        <w:ind w:firstLine="709"/>
        <w:rPr>
          <w:rFonts w:ascii="Times New Roman" w:hAnsi="Times New Roman"/>
          <w:sz w:val="28"/>
          <w:szCs w:val="28"/>
        </w:rPr>
      </w:pPr>
    </w:p>
    <w:p w:rsidR="00DE6BF6" w:rsidRPr="00B11ACF" w:rsidRDefault="00DE6BF6" w:rsidP="00DE6BF6">
      <w:pPr>
        <w:pStyle w:val="3"/>
        <w:ind w:left="0" w:firstLine="709"/>
        <w:rPr>
          <w:rFonts w:ascii="Times New Roman" w:hAnsi="Times New Roman"/>
          <w:sz w:val="28"/>
        </w:rPr>
      </w:pPr>
      <w:r w:rsidRPr="00B11ACF">
        <w:rPr>
          <w:rFonts w:ascii="Times New Roman" w:hAnsi="Times New Roman"/>
          <w:sz w:val="28"/>
        </w:rPr>
        <w:br w:type="page"/>
      </w:r>
    </w:p>
    <w:p w:rsidR="00DE6BF6" w:rsidRPr="00B11ACF" w:rsidRDefault="00DE6BF6" w:rsidP="00DE6BF6">
      <w:pPr>
        <w:pStyle w:val="ConsPlusNormal"/>
        <w:ind w:firstLine="709"/>
        <w:jc w:val="right"/>
        <w:outlineLvl w:val="0"/>
        <w:rPr>
          <w:szCs w:val="28"/>
        </w:rPr>
      </w:pPr>
      <w:r w:rsidRPr="00B11ACF">
        <w:rPr>
          <w:szCs w:val="28"/>
        </w:rPr>
        <w:lastRenderedPageBreak/>
        <w:t>Приложение</w:t>
      </w:r>
    </w:p>
    <w:p w:rsidR="00DE6BF6" w:rsidRPr="00B11ACF" w:rsidRDefault="00DE6BF6" w:rsidP="00DE6BF6">
      <w:pPr>
        <w:pStyle w:val="ConsPlusNormal"/>
        <w:ind w:firstLine="709"/>
        <w:jc w:val="right"/>
        <w:rPr>
          <w:szCs w:val="28"/>
        </w:rPr>
      </w:pPr>
      <w:r w:rsidRPr="00B11ACF">
        <w:rPr>
          <w:szCs w:val="28"/>
        </w:rPr>
        <w:t>к постановлению</w:t>
      </w:r>
    </w:p>
    <w:p w:rsidR="00DE6BF6" w:rsidRDefault="00DE6BF6" w:rsidP="00DE6BF6">
      <w:pPr>
        <w:pStyle w:val="ConsPlusNormal"/>
        <w:ind w:firstLine="709"/>
        <w:jc w:val="right"/>
        <w:rPr>
          <w:szCs w:val="28"/>
        </w:rPr>
      </w:pPr>
      <w:r w:rsidRPr="00B11ACF">
        <w:rPr>
          <w:szCs w:val="28"/>
        </w:rPr>
        <w:t xml:space="preserve">администрации </w:t>
      </w:r>
      <w:r>
        <w:rPr>
          <w:szCs w:val="28"/>
        </w:rPr>
        <w:t>Кирсановского</w:t>
      </w:r>
    </w:p>
    <w:p w:rsidR="00DE6BF6" w:rsidRPr="00B11ACF" w:rsidRDefault="00DE6BF6" w:rsidP="00DE6BF6">
      <w:pPr>
        <w:pStyle w:val="ConsPlusNormal"/>
        <w:ind w:firstLine="709"/>
        <w:jc w:val="right"/>
        <w:rPr>
          <w:szCs w:val="28"/>
        </w:rPr>
      </w:pPr>
      <w:r w:rsidRPr="00B11ACF">
        <w:rPr>
          <w:szCs w:val="28"/>
        </w:rPr>
        <w:t xml:space="preserve"> сельского поселения</w:t>
      </w:r>
    </w:p>
    <w:p w:rsidR="00DE6BF6" w:rsidRPr="00B11ACF" w:rsidRDefault="00DE6BF6" w:rsidP="00DE6BF6">
      <w:pPr>
        <w:pStyle w:val="ConsPlusNormal"/>
        <w:ind w:firstLine="709"/>
        <w:jc w:val="right"/>
        <w:rPr>
          <w:szCs w:val="28"/>
        </w:rPr>
      </w:pPr>
      <w:r w:rsidRPr="00B11ACF">
        <w:rPr>
          <w:szCs w:val="28"/>
        </w:rPr>
        <w:t xml:space="preserve">Грибановского </w:t>
      </w:r>
    </w:p>
    <w:p w:rsidR="00DE6BF6" w:rsidRPr="00B11ACF" w:rsidRDefault="00DE6BF6" w:rsidP="00DE6BF6">
      <w:pPr>
        <w:pStyle w:val="ConsPlusNormal"/>
        <w:ind w:firstLine="709"/>
        <w:jc w:val="right"/>
        <w:rPr>
          <w:szCs w:val="28"/>
        </w:rPr>
      </w:pPr>
      <w:r w:rsidRPr="00B11ACF">
        <w:rPr>
          <w:szCs w:val="28"/>
        </w:rPr>
        <w:t>муниципального района</w:t>
      </w:r>
    </w:p>
    <w:p w:rsidR="00DE6BF6" w:rsidRPr="00B11ACF" w:rsidRDefault="00DE6BF6" w:rsidP="00DE6BF6">
      <w:pPr>
        <w:pStyle w:val="ConsPlusNormal"/>
        <w:ind w:firstLine="709"/>
        <w:jc w:val="right"/>
        <w:rPr>
          <w:szCs w:val="28"/>
        </w:rPr>
      </w:pPr>
      <w:r w:rsidRPr="00B11ACF">
        <w:rPr>
          <w:szCs w:val="28"/>
        </w:rPr>
        <w:t>от</w:t>
      </w:r>
      <w:r>
        <w:rPr>
          <w:szCs w:val="28"/>
        </w:rPr>
        <w:t>13.05.2020</w:t>
      </w:r>
      <w:r w:rsidRPr="00B11ACF">
        <w:rPr>
          <w:szCs w:val="28"/>
        </w:rPr>
        <w:t xml:space="preserve">г. № </w:t>
      </w:r>
      <w:r>
        <w:rPr>
          <w:szCs w:val="28"/>
        </w:rPr>
        <w:t>15</w:t>
      </w:r>
    </w:p>
    <w:p w:rsidR="00DE6BF6" w:rsidRPr="00B11ACF" w:rsidRDefault="00DE6BF6" w:rsidP="00DE6BF6">
      <w:pPr>
        <w:pStyle w:val="3"/>
        <w:ind w:left="0" w:firstLine="709"/>
        <w:rPr>
          <w:rFonts w:ascii="Times New Roman" w:hAnsi="Times New Roman"/>
          <w:sz w:val="28"/>
        </w:rPr>
      </w:pPr>
    </w:p>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4D6036">
        <w:rPr>
          <w:rFonts w:ascii="Times New Roman" w:hAnsi="Times New Roman" w:cs="Times New Roman"/>
          <w:b/>
          <w:sz w:val="28"/>
          <w:szCs w:val="28"/>
        </w:rPr>
        <w:t xml:space="preserve">КИРСАНОВСКОГО </w:t>
      </w:r>
      <w:r w:rsidR="00580C0B">
        <w:rPr>
          <w:rFonts w:ascii="Times New Roman" w:hAnsi="Times New Roman" w:cs="Times New Roman"/>
          <w:b/>
          <w:sz w:val="28"/>
          <w:szCs w:val="28"/>
        </w:rPr>
        <w:t xml:space="preserve">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Административный регламент администрации </w:t>
      </w:r>
      <w:r w:rsidR="004D6036">
        <w:rPr>
          <w:rFonts w:ascii="Times New Roman" w:hAnsi="Times New Roman" w:cs="Times New Roman"/>
          <w:sz w:val="28"/>
          <w:szCs w:val="28"/>
        </w:rPr>
        <w:t xml:space="preserve">Кирсановского </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w:t>
      </w:r>
      <w:r w:rsidRPr="000B22D6">
        <w:rPr>
          <w:rFonts w:ascii="Times New Roman" w:hAnsi="Times New Roman" w:cs="Times New Roman"/>
          <w:sz w:val="28"/>
          <w:szCs w:val="28"/>
        </w:rPr>
        <w:lastRenderedPageBreak/>
        <w:t>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4D6036" w:rsidRPr="004D6036">
        <w:t xml:space="preserve"> </w:t>
      </w:r>
      <w:r w:rsidR="004D6036" w:rsidRPr="004D6036">
        <w:rPr>
          <w:szCs w:val="28"/>
        </w:rPr>
        <w:t>http://kirs-grib.ru.</w:t>
      </w:r>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w:t>
      </w:r>
      <w:r w:rsidRPr="000B22D6">
        <w:rPr>
          <w:rFonts w:ascii="Times New Roman" w:hAnsi="Times New Roman" w:cs="Times New Roman"/>
          <w:sz w:val="28"/>
          <w:szCs w:val="28"/>
        </w:rPr>
        <w:lastRenderedPageBreak/>
        <w:t>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4D6036">
        <w:rPr>
          <w:rFonts w:ascii="Times New Roman" w:hAnsi="Times New Roman" w:cs="Times New Roman"/>
          <w:sz w:val="28"/>
          <w:szCs w:val="28"/>
        </w:rPr>
        <w:t>Кирсановского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4D6036">
        <w:rPr>
          <w:rFonts w:ascii="Times New Roman" w:hAnsi="Times New Roman" w:cs="Times New Roman"/>
          <w:sz w:val="28"/>
          <w:szCs w:val="28"/>
        </w:rPr>
        <w:t>Кирсановского</w:t>
      </w:r>
      <w:proofErr w:type="gramEnd"/>
      <w:r w:rsidR="004D6036" w:rsidRPr="008D5F14">
        <w:rPr>
          <w:rFonts w:ascii="Times New Roman" w:eastAsia="Times New Roman" w:hAnsi="Times New Roman" w:cs="Times New Roman"/>
          <w:sz w:val="28"/>
          <w:szCs w:val="28"/>
          <w:lang w:eastAsia="ru-RU"/>
        </w:rPr>
        <w:t xml:space="preserve"> </w:t>
      </w:r>
      <w:r w:rsidR="008D5F14" w:rsidRPr="008D5F14">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Срок предоставления муниципальной услуги не должен превышать 33 календарных дней со дня поступления заявления с приложением документов, </w:t>
      </w:r>
      <w:r w:rsidRPr="000B22D6">
        <w:rPr>
          <w:rFonts w:ascii="Times New Roman" w:hAnsi="Times New Roman" w:cs="Times New Roman"/>
          <w:sz w:val="28"/>
          <w:szCs w:val="28"/>
        </w:rPr>
        <w:lastRenderedPageBreak/>
        <w:t>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0B22D6">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4D6036">
        <w:rPr>
          <w:rFonts w:ascii="Times New Roman" w:hAnsi="Times New Roman" w:cs="Times New Roman"/>
          <w:sz w:val="28"/>
          <w:szCs w:val="28"/>
        </w:rPr>
        <w:t xml:space="preserve">Кирсановского </w:t>
      </w:r>
      <w:r w:rsidR="00D927E4">
        <w:rPr>
          <w:rFonts w:ascii="Times New Roman" w:hAnsi="Times New Roman" w:cs="Times New Roman"/>
          <w:sz w:val="28"/>
          <w:szCs w:val="28"/>
        </w:rPr>
        <w:t xml:space="preserve">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4D6036">
        <w:rPr>
          <w:rFonts w:ascii="Times New Roman" w:hAnsi="Times New Roman" w:cs="Times New Roman"/>
          <w:b/>
          <w:sz w:val="28"/>
          <w:szCs w:val="28"/>
        </w:rPr>
        <w:t xml:space="preserve">Кирсановского </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0B22D6">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2.13.8. Предоставление заявления и прилагаемых к нему документов (сведений) в форме электронных документов приравнивается к согласию </w:t>
      </w:r>
      <w:r w:rsidRPr="000B22D6">
        <w:rPr>
          <w:rFonts w:ascii="Times New Roman" w:hAnsi="Times New Roman" w:cs="Times New Roman"/>
          <w:sz w:val="28"/>
          <w:szCs w:val="28"/>
        </w:rPr>
        <w:lastRenderedPageBreak/>
        <w:t>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w:t>
      </w:r>
      <w:r w:rsidRPr="000B22D6">
        <w:rPr>
          <w:rFonts w:ascii="Times New Roman" w:hAnsi="Times New Roman" w:cs="Times New Roman"/>
          <w:sz w:val="28"/>
          <w:szCs w:val="28"/>
        </w:rPr>
        <w:lastRenderedPageBreak/>
        <w:t xml:space="preserve">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 Управлении Федеральной налоговой службы по Воронежской области - выписку из Единого государственного реестра юридических лиц о </w:t>
      </w:r>
      <w:r w:rsidRPr="000B22D6">
        <w:rPr>
          <w:rFonts w:ascii="Times New Roman" w:hAnsi="Times New Roman" w:cs="Times New Roman"/>
          <w:sz w:val="28"/>
          <w:szCs w:val="28"/>
        </w:rPr>
        <w:lastRenderedPageBreak/>
        <w:t>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права постоянного </w:t>
      </w:r>
      <w:r w:rsidRPr="0029160D">
        <w:rPr>
          <w:rFonts w:ascii="Times New Roman" w:hAnsi="Times New Roman" w:cs="Times New Roman"/>
          <w:b/>
          <w:sz w:val="28"/>
          <w:szCs w:val="28"/>
        </w:rPr>
        <w:lastRenderedPageBreak/>
        <w:t>(бессрочного)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w:t>
      </w:r>
      <w:r w:rsidRPr="000B22D6">
        <w:rPr>
          <w:rFonts w:ascii="Times New Roman" w:hAnsi="Times New Roman" w:cs="Times New Roman"/>
          <w:sz w:val="28"/>
          <w:szCs w:val="28"/>
        </w:rPr>
        <w:lastRenderedPageBreak/>
        <w:t>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0B22D6">
        <w:rPr>
          <w:rFonts w:ascii="Times New Roman" w:hAnsi="Times New Roman"/>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lastRenderedPageBreak/>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0B22D6">
        <w:rPr>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0B22D6">
        <w:rPr>
          <w:szCs w:val="28"/>
        </w:rPr>
        <w:lastRenderedPageBreak/>
        <w:t>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 xml:space="preserve">Жалобы на решения и действия (бездействие) работников </w:t>
      </w:r>
      <w:r w:rsidRPr="000B22D6">
        <w:rPr>
          <w:szCs w:val="28"/>
        </w:rPr>
        <w:lastRenderedPageBreak/>
        <w:t>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4D6036">
        <w:rPr>
          <w:rFonts w:ascii="Times New Roman" w:hAnsi="Times New Roman" w:cs="Times New Roman"/>
          <w:sz w:val="28"/>
          <w:szCs w:val="28"/>
        </w:rPr>
        <w:t xml:space="preserve">Кирсановского </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4D6036">
        <w:rPr>
          <w:rFonts w:ascii="Times New Roman" w:hAnsi="Times New Roman" w:cs="Times New Roman"/>
          <w:sz w:val="28"/>
          <w:szCs w:val="28"/>
        </w:rPr>
        <w:t>397221,</w:t>
      </w:r>
      <w:r w:rsidRPr="000B22D6">
        <w:rPr>
          <w:rFonts w:ascii="Times New Roman" w:hAnsi="Times New Roman" w:cs="Times New Roman"/>
          <w:sz w:val="28"/>
          <w:szCs w:val="28"/>
        </w:rPr>
        <w:t xml:space="preserve">Воронежская область, Грибановский район, </w:t>
      </w:r>
      <w:r w:rsidR="005F603A">
        <w:rPr>
          <w:rFonts w:ascii="Times New Roman" w:hAnsi="Times New Roman" w:cs="Times New Roman"/>
          <w:sz w:val="28"/>
          <w:szCs w:val="28"/>
        </w:rPr>
        <w:t>с.</w:t>
      </w:r>
      <w:r w:rsidR="00C91B27">
        <w:rPr>
          <w:rFonts w:ascii="Times New Roman" w:hAnsi="Times New Roman" w:cs="Times New Roman"/>
          <w:sz w:val="28"/>
          <w:szCs w:val="28"/>
        </w:rPr>
        <w:t xml:space="preserve"> </w:t>
      </w:r>
      <w:r w:rsidR="004D6036">
        <w:rPr>
          <w:rFonts w:ascii="Times New Roman" w:hAnsi="Times New Roman" w:cs="Times New Roman"/>
          <w:sz w:val="28"/>
          <w:szCs w:val="28"/>
        </w:rPr>
        <w:t>Кирсановка</w:t>
      </w:r>
      <w:r w:rsidRPr="000B22D6">
        <w:rPr>
          <w:rFonts w:ascii="Times New Roman" w:hAnsi="Times New Roman" w:cs="Times New Roman"/>
          <w:sz w:val="28"/>
          <w:szCs w:val="28"/>
        </w:rPr>
        <w:t>, ул</w:t>
      </w:r>
      <w:proofErr w:type="gramStart"/>
      <w:r w:rsidRPr="000B22D6">
        <w:rPr>
          <w:rFonts w:ascii="Times New Roman" w:hAnsi="Times New Roman" w:cs="Times New Roman"/>
          <w:sz w:val="28"/>
          <w:szCs w:val="28"/>
        </w:rPr>
        <w:t>.</w:t>
      </w:r>
      <w:r w:rsidR="004D6036">
        <w:rPr>
          <w:rFonts w:ascii="Times New Roman" w:hAnsi="Times New Roman" w:cs="Times New Roman"/>
          <w:sz w:val="28"/>
          <w:szCs w:val="28"/>
        </w:rPr>
        <w:t>Ц</w:t>
      </w:r>
      <w:proofErr w:type="gramEnd"/>
      <w:r w:rsidR="004D6036">
        <w:rPr>
          <w:rFonts w:ascii="Times New Roman" w:hAnsi="Times New Roman" w:cs="Times New Roman"/>
          <w:sz w:val="28"/>
          <w:szCs w:val="28"/>
        </w:rPr>
        <w:t>ентральная</w:t>
      </w:r>
      <w:r w:rsidRPr="000B22D6">
        <w:rPr>
          <w:rFonts w:ascii="Times New Roman" w:hAnsi="Times New Roman" w:cs="Times New Roman"/>
          <w:sz w:val="28"/>
          <w:szCs w:val="28"/>
        </w:rPr>
        <w:t>,</w:t>
      </w:r>
      <w:r w:rsidR="004D6036">
        <w:rPr>
          <w:rFonts w:ascii="Times New Roman" w:hAnsi="Times New Roman" w:cs="Times New Roman"/>
          <w:sz w:val="28"/>
          <w:szCs w:val="28"/>
        </w:rPr>
        <w:t>4</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Телефоны для справок: (47348)</w:t>
      </w:r>
      <w:r w:rsidR="004D6036">
        <w:rPr>
          <w:rFonts w:ascii="Times New Roman" w:hAnsi="Times New Roman" w:cs="Times New Roman"/>
          <w:sz w:val="28"/>
          <w:szCs w:val="28"/>
        </w:rPr>
        <w:t>47-3-33</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004D6036" w:rsidRPr="004D6036">
        <w:rPr>
          <w:rFonts w:ascii="Times New Roman" w:hAnsi="Times New Roman" w:cs="Times New Roman"/>
          <w:sz w:val="28"/>
          <w:szCs w:val="28"/>
        </w:rPr>
        <w:t>http://kirs-grib.ru.</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Адрес электронной почты администрации</w:t>
      </w:r>
      <w:r w:rsidRPr="004D6036">
        <w:rPr>
          <w:rFonts w:ascii="Times New Roman" w:hAnsi="Times New Roman" w:cs="Times New Roman"/>
          <w:sz w:val="28"/>
          <w:szCs w:val="28"/>
        </w:rPr>
        <w:t xml:space="preserve">: </w:t>
      </w:r>
      <w:proofErr w:type="spellStart"/>
      <w:r w:rsidR="004D6036" w:rsidRPr="004D6036">
        <w:rPr>
          <w:rFonts w:ascii="Times New Roman" w:hAnsi="Times New Roman" w:cs="Times New Roman"/>
          <w:sz w:val="28"/>
          <w:szCs w:val="28"/>
          <w:lang w:val="en-US"/>
        </w:rPr>
        <w:t>kirs</w:t>
      </w:r>
      <w:proofErr w:type="spellEnd"/>
      <w:r w:rsidR="004D6036" w:rsidRPr="004D6036">
        <w:rPr>
          <w:rFonts w:ascii="Times New Roman" w:hAnsi="Times New Roman" w:cs="Times New Roman"/>
          <w:sz w:val="28"/>
          <w:szCs w:val="28"/>
        </w:rPr>
        <w:t>.</w:t>
      </w:r>
      <w:proofErr w:type="spellStart"/>
      <w:r w:rsidR="004D6036" w:rsidRPr="004D6036">
        <w:rPr>
          <w:rFonts w:ascii="Times New Roman" w:hAnsi="Times New Roman" w:cs="Times New Roman"/>
          <w:sz w:val="28"/>
          <w:szCs w:val="28"/>
          <w:lang w:val="en-US"/>
        </w:rPr>
        <w:t>grib</w:t>
      </w:r>
      <w:proofErr w:type="spellEnd"/>
      <w:r w:rsidR="004D6036" w:rsidRPr="004D6036">
        <w:rPr>
          <w:rFonts w:ascii="Times New Roman" w:hAnsi="Times New Roman" w:cs="Times New Roman"/>
          <w:sz w:val="28"/>
          <w:szCs w:val="28"/>
        </w:rPr>
        <w:t>@</w:t>
      </w:r>
      <w:proofErr w:type="spellStart"/>
      <w:r w:rsidR="004D6036" w:rsidRPr="004D6036">
        <w:rPr>
          <w:rFonts w:ascii="Times New Roman" w:hAnsi="Times New Roman" w:cs="Times New Roman"/>
          <w:sz w:val="28"/>
          <w:szCs w:val="28"/>
          <w:lang w:val="en-US"/>
        </w:rPr>
        <w:t>govvrn</w:t>
      </w:r>
      <w:proofErr w:type="spellEnd"/>
      <w:r w:rsidR="004D6036" w:rsidRPr="004D6036">
        <w:rPr>
          <w:rFonts w:ascii="Times New Roman" w:hAnsi="Times New Roman" w:cs="Times New Roman"/>
          <w:sz w:val="28"/>
          <w:szCs w:val="28"/>
        </w:rPr>
        <w:t>.</w:t>
      </w:r>
      <w:proofErr w:type="spellStart"/>
      <w:r w:rsidR="004D6036" w:rsidRPr="004D6036">
        <w:rPr>
          <w:rFonts w:ascii="Times New Roman" w:hAnsi="Times New Roman" w:cs="Times New Roman"/>
          <w:sz w:val="28"/>
          <w:szCs w:val="28"/>
          <w:lang w:val="en-US"/>
        </w:rPr>
        <w:t>ru</w:t>
      </w:r>
      <w:proofErr w:type="spellEnd"/>
      <w:r w:rsidRPr="004D603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C91B27"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Кирсановского </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C91B27"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Кирсановского </w:t>
      </w:r>
      <w:r w:rsidR="005F603A">
        <w:rPr>
          <w:rFonts w:ascii="Times New Roman" w:hAnsi="Times New Roman"/>
          <w:b/>
          <w:sz w:val="28"/>
          <w:szCs w:val="28"/>
        </w:rPr>
        <w:t>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C91B27">
        <w:rPr>
          <w:rFonts w:ascii="Times New Roman" w:hAnsi="Times New Roman"/>
          <w:sz w:val="28"/>
          <w:szCs w:val="28"/>
        </w:rPr>
        <w:t xml:space="preserve">Кирсановского </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2"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F54CDF"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p w:rsidR="00F54CDF" w:rsidRPr="00F54CDF" w:rsidRDefault="00F54CDF" w:rsidP="00F54CDF">
      <w:pPr>
        <w:rPr>
          <w:lang w:eastAsia="ru-RU"/>
        </w:rPr>
      </w:pPr>
    </w:p>
    <w:p w:rsidR="00CC2C68" w:rsidRPr="00F54CDF" w:rsidRDefault="00CC2C68" w:rsidP="00F54CDF">
      <w:pPr>
        <w:rPr>
          <w:lang w:eastAsia="ru-RU"/>
        </w:rPr>
      </w:pPr>
    </w:p>
    <w:sectPr w:rsidR="00CC2C68" w:rsidRPr="00F54CDF"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D37A4"/>
    <w:rsid w:val="004D6036"/>
    <w:rsid w:val="00501184"/>
    <w:rsid w:val="00530F53"/>
    <w:rsid w:val="0057040C"/>
    <w:rsid w:val="00580C0B"/>
    <w:rsid w:val="0058611E"/>
    <w:rsid w:val="00587610"/>
    <w:rsid w:val="005B25B3"/>
    <w:rsid w:val="005F603A"/>
    <w:rsid w:val="006620FB"/>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71164"/>
    <w:rsid w:val="00986777"/>
    <w:rsid w:val="009C1B99"/>
    <w:rsid w:val="00A146C6"/>
    <w:rsid w:val="00A2670D"/>
    <w:rsid w:val="00A621E2"/>
    <w:rsid w:val="00A65CE3"/>
    <w:rsid w:val="00A71702"/>
    <w:rsid w:val="00A717B4"/>
    <w:rsid w:val="00A72209"/>
    <w:rsid w:val="00A802DE"/>
    <w:rsid w:val="00A80B5D"/>
    <w:rsid w:val="00A90700"/>
    <w:rsid w:val="00AA7BED"/>
    <w:rsid w:val="00AD5546"/>
    <w:rsid w:val="00B01E32"/>
    <w:rsid w:val="00B072C2"/>
    <w:rsid w:val="00B300A6"/>
    <w:rsid w:val="00B70471"/>
    <w:rsid w:val="00B80371"/>
    <w:rsid w:val="00BF431C"/>
    <w:rsid w:val="00BF6974"/>
    <w:rsid w:val="00C37C3F"/>
    <w:rsid w:val="00C746BE"/>
    <w:rsid w:val="00C91B27"/>
    <w:rsid w:val="00CC2C68"/>
    <w:rsid w:val="00CE170C"/>
    <w:rsid w:val="00D20F89"/>
    <w:rsid w:val="00D41E5D"/>
    <w:rsid w:val="00D4717C"/>
    <w:rsid w:val="00D7365F"/>
    <w:rsid w:val="00D927E4"/>
    <w:rsid w:val="00D957D5"/>
    <w:rsid w:val="00DB4197"/>
    <w:rsid w:val="00DE6BF6"/>
    <w:rsid w:val="00E0301D"/>
    <w:rsid w:val="00E92BBF"/>
    <w:rsid w:val="00EF4F93"/>
    <w:rsid w:val="00F4799C"/>
    <w:rsid w:val="00F54CDF"/>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customStyle="1" w:styleId="1">
    <w:name w:val="1Орган_ПР"/>
    <w:basedOn w:val="a"/>
    <w:link w:val="10"/>
    <w:qFormat/>
    <w:rsid w:val="00DE6BF6"/>
    <w:pPr>
      <w:snapToGrid w:val="0"/>
      <w:spacing w:after="0" w:line="240" w:lineRule="auto"/>
      <w:jc w:val="center"/>
    </w:pPr>
    <w:rPr>
      <w:rFonts w:ascii="Arial" w:eastAsia="Times New Roman" w:hAnsi="Arial" w:cs="Times New Roman"/>
      <w:b/>
      <w:caps/>
      <w:sz w:val="26"/>
      <w:szCs w:val="28"/>
      <w:lang w:eastAsia="ar-SA"/>
    </w:rPr>
  </w:style>
  <w:style w:type="character" w:customStyle="1" w:styleId="10">
    <w:name w:val="1Орган_ПР Знак"/>
    <w:link w:val="1"/>
    <w:rsid w:val="00DE6BF6"/>
    <w:rPr>
      <w:rFonts w:ascii="Arial" w:eastAsia="Times New Roman" w:hAnsi="Arial" w:cs="Times New Roman"/>
      <w:b/>
      <w:caps/>
      <w:sz w:val="26"/>
      <w:szCs w:val="28"/>
      <w:lang w:eastAsia="ar-SA"/>
    </w:rPr>
  </w:style>
  <w:style w:type="paragraph" w:customStyle="1" w:styleId="2">
    <w:name w:val="2Название"/>
    <w:basedOn w:val="a"/>
    <w:link w:val="20"/>
    <w:qFormat/>
    <w:rsid w:val="00DE6BF6"/>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DE6BF6"/>
    <w:rPr>
      <w:rFonts w:ascii="Arial" w:eastAsia="Times New Roman" w:hAnsi="Arial" w:cs="Times New Roman"/>
      <w:b/>
      <w:sz w:val="26"/>
      <w:szCs w:val="28"/>
      <w:lang w:eastAsia="ar-SA"/>
    </w:rPr>
  </w:style>
  <w:style w:type="paragraph" w:customStyle="1" w:styleId="3">
    <w:name w:val="3Приложение"/>
    <w:basedOn w:val="a"/>
    <w:link w:val="30"/>
    <w:qFormat/>
    <w:rsid w:val="00DE6BF6"/>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DE6BF6"/>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919256">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CA07-FA27-4564-BA8B-E96FDBF1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10425</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Администрация Кирс</cp:lastModifiedBy>
  <cp:revision>64</cp:revision>
  <cp:lastPrinted>2020-03-10T08:30:00Z</cp:lastPrinted>
  <dcterms:created xsi:type="dcterms:W3CDTF">2020-02-13T16:13:00Z</dcterms:created>
  <dcterms:modified xsi:type="dcterms:W3CDTF">2020-05-14T08:47:00Z</dcterms:modified>
</cp:coreProperties>
</file>