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2C4DD0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B36824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A60745" w:rsidRPr="00263035" w:rsidRDefault="00B36824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C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2C4DD0">
        <w:rPr>
          <w:rFonts w:ascii="Times New Roman" w:hAnsi="Times New Roman" w:cs="Times New Roman"/>
          <w:bCs/>
          <w:sz w:val="28"/>
          <w:szCs w:val="28"/>
        </w:rPr>
        <w:t>Кирсановского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</w:t>
      </w:r>
      <w:r w:rsidR="002C4DD0">
        <w:rPr>
          <w:rFonts w:ascii="Times New Roman" w:hAnsi="Times New Roman" w:cs="Times New Roman"/>
          <w:sz w:val="28"/>
          <w:szCs w:val="28"/>
        </w:rPr>
        <w:t xml:space="preserve"> Кирсановского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339FB" w:rsidRPr="002630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7C5E2F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C4DD0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A473C2">
        <w:rPr>
          <w:rFonts w:ascii="Times New Roman" w:hAnsi="Times New Roman" w:cs="Times New Roman"/>
          <w:bCs/>
          <w:sz w:val="28"/>
          <w:szCs w:val="28"/>
        </w:rPr>
        <w:t xml:space="preserve"> от 06.03. 2017 года № 7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4"/>
        <w:gridCol w:w="3307"/>
        <w:gridCol w:w="3355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2C4DD0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2C4DD0" w:rsidP="002C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263035" w:rsidRDefault="00A473C2" w:rsidP="00A473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264B" w:rsidRPr="0026303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2C4DD0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B36824">
        <w:rPr>
          <w:rFonts w:ascii="Times New Roman" w:eastAsiaTheme="minorEastAsia" w:hAnsi="Times New Roman" w:cs="Times New Roman"/>
          <w:sz w:val="28"/>
          <w:szCs w:val="28"/>
        </w:rPr>
        <w:t>17.04.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824">
        <w:rPr>
          <w:rFonts w:ascii="Times New Roman" w:eastAsiaTheme="minorEastAsia" w:hAnsi="Times New Roman" w:cs="Times New Roman"/>
          <w:sz w:val="28"/>
          <w:szCs w:val="28"/>
        </w:rPr>
        <w:t>г. №30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2C4DD0">
        <w:rPr>
          <w:rFonts w:ascii="Times New Roman" w:hAnsi="Times New Roman" w:cs="Times New Roman"/>
          <w:bCs/>
          <w:sz w:val="28"/>
          <w:szCs w:val="28"/>
        </w:rPr>
        <w:t xml:space="preserve">КИРСАНОВСКОГО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C4DD0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уполномоченного на согласование сделки с соответствующим имуществом,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proofErr w:type="spellStart"/>
      <w:r w:rsidR="002C4DD0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C4DD0" w:rsidRPr="002C4DD0">
        <w:rPr>
          <w:rFonts w:ascii="Times New Roman" w:hAnsi="Times New Roman" w:cs="Times New Roman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2C4DD0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_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4DD0">
        <w:rPr>
          <w:rFonts w:ascii="Times New Roman" w:hAnsi="Times New Roman" w:cs="Times New Roman"/>
          <w:sz w:val="28"/>
          <w:szCs w:val="28"/>
        </w:rPr>
        <w:t>Кирсановского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B36824">
        <w:rPr>
          <w:rFonts w:ascii="Times New Roman" w:eastAsiaTheme="minorEastAsia" w:hAnsi="Times New Roman" w:cs="Times New Roman"/>
          <w:sz w:val="28"/>
          <w:szCs w:val="28"/>
        </w:rPr>
        <w:t>17.04.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824">
        <w:rPr>
          <w:rFonts w:ascii="Times New Roman" w:eastAsiaTheme="minorEastAsia" w:hAnsi="Times New Roman" w:cs="Times New Roman"/>
          <w:sz w:val="28"/>
          <w:szCs w:val="28"/>
        </w:rPr>
        <w:t>г. №30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2C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2C4DD0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B36824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«17»04. 2019 г. № 30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2C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2C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Кирсановское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97" w:rsidRDefault="00175F97" w:rsidP="00F3264B">
      <w:pPr>
        <w:spacing w:after="0" w:line="240" w:lineRule="auto"/>
      </w:pPr>
      <w:r>
        <w:separator/>
      </w:r>
    </w:p>
  </w:endnote>
  <w:endnote w:type="continuationSeparator" w:id="0">
    <w:p w:rsidR="00175F97" w:rsidRDefault="00175F97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97" w:rsidRDefault="00175F97" w:rsidP="00F3264B">
      <w:pPr>
        <w:spacing w:after="0" w:line="240" w:lineRule="auto"/>
      </w:pPr>
      <w:r>
        <w:separator/>
      </w:r>
    </w:p>
  </w:footnote>
  <w:footnote w:type="continuationSeparator" w:id="0">
    <w:p w:rsidR="00175F97" w:rsidRDefault="00175F97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175F97" w:rsidP="00294EF4">
    <w:pPr>
      <w:pStyle w:val="a3"/>
      <w:jc w:val="center"/>
    </w:pPr>
  </w:p>
  <w:p w:rsidR="00F81E1F" w:rsidRDefault="00F81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0A1A30"/>
    <w:rsid w:val="00146C39"/>
    <w:rsid w:val="00172138"/>
    <w:rsid w:val="00175F97"/>
    <w:rsid w:val="001A541B"/>
    <w:rsid w:val="00263035"/>
    <w:rsid w:val="002A5EAF"/>
    <w:rsid w:val="002C4DD0"/>
    <w:rsid w:val="002C5EDB"/>
    <w:rsid w:val="002C6C17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21650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C5E2F"/>
    <w:rsid w:val="007E10FE"/>
    <w:rsid w:val="007F3B6E"/>
    <w:rsid w:val="0081759C"/>
    <w:rsid w:val="0082381F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473C2"/>
    <w:rsid w:val="00A60745"/>
    <w:rsid w:val="00A608A9"/>
    <w:rsid w:val="00A81A81"/>
    <w:rsid w:val="00B36824"/>
    <w:rsid w:val="00B766F1"/>
    <w:rsid w:val="00BA671C"/>
    <w:rsid w:val="00BE611E"/>
    <w:rsid w:val="00C126C3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4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7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2B74-D985-4DC3-9B96-B0A7373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Администрация Кирс</cp:lastModifiedBy>
  <cp:revision>17</cp:revision>
  <cp:lastPrinted>2019-04-17T07:18:00Z</cp:lastPrinted>
  <dcterms:created xsi:type="dcterms:W3CDTF">2019-03-04T05:26:00Z</dcterms:created>
  <dcterms:modified xsi:type="dcterms:W3CDTF">2019-04-17T07:20:00Z</dcterms:modified>
</cp:coreProperties>
</file>